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eastAsia="Calibri"/>
          <w:b/>
          <w:sz w:val="36"/>
        </w:rPr>
        <w:t>MinerLift Development Program</w:t>
      </w:r>
    </w:p>
    <w:p>
      <w:pPr>
        <w:jc w:val="center"/>
      </w:pPr>
      <w:r>
        <w:rPr>
          <w:rFonts w:ascii="Calibri" w:hAnsi="Calibri" w:eastAsia="Calibri"/>
          <w:b/>
          <w:sz w:val="23"/>
        </w:rPr>
        <w:t>Ministerial Brief</w:t>
      </w:r>
    </w:p>
    <w:p>
      <w:pPr>
        <w:jc w:val="center"/>
      </w:pPr>
      <w:r>
        <w:rPr>
          <w:rFonts w:ascii="Calibri" w:hAnsi="Calibri" w:eastAsia="Calibri"/>
          <w:b w:val="0"/>
          <w:sz w:val="21"/>
        </w:rPr>
        <w:t>Introductory note for high-level government stakeholders considering regional support and implementation</w:t>
      </w:r>
    </w:p>
    <w:p/>
    <w:p>
      <w:r>
        <w:rPr>
          <w:rFonts w:ascii="Calibri" w:hAnsi="Calibri" w:eastAsia="Calibri"/>
          <w:b/>
          <w:sz w:val="25"/>
        </w:rPr>
        <w:t>1. Strategic Purpose</w:t>
      </w:r>
    </w:p>
    <w:p>
      <w:pPr>
        <w:spacing w:after="100"/>
      </w:pPr>
      <w:r>
        <w:rPr>
          <w:rFonts w:ascii="Calibri" w:hAnsi="Calibri" w:eastAsia="Calibri"/>
          <w:b w:val="0"/>
          <w:sz w:val="21"/>
        </w:rPr>
        <w:t>MinerLift is a practical implementation platform designed to help African mining operations move from constrained production into structured, transparent, and financeable growth. It focuses particularly on producing mines and organised cooperatives that require stronger technical support, safer logistics, improved route-to-market access, and disciplined systems for settlement and reporting.</w:t>
      </w:r>
    </w:p>
    <w:p>
      <w:r>
        <w:rPr>
          <w:rFonts w:ascii="Calibri" w:hAnsi="Calibri" w:eastAsia="Calibri"/>
          <w:b/>
          <w:sz w:val="25"/>
        </w:rPr>
        <w:t>2. Why the Program Matters</w:t>
      </w:r>
    </w:p>
    <w:p>
      <w:pPr>
        <w:spacing w:after="100"/>
      </w:pPr>
      <w:r>
        <w:rPr>
          <w:rFonts w:ascii="Calibri" w:hAnsi="Calibri" w:eastAsia="Calibri"/>
          <w:b w:val="0"/>
          <w:sz w:val="21"/>
        </w:rPr>
        <w:t>In many regions, producers remain trapped between limited access to development capital and weak direct access to the international market. The result is avoidable value leakage through multiple intermediaries, weak planning discipline, poor visibility over final realised value, and limited ability to scale responsibly. MinerLift is intended to address these gaps without displacing local ownership.</w:t>
      </w:r>
    </w:p>
    <w:p>
      <w:r>
        <w:rPr>
          <w:rFonts w:ascii="Calibri" w:hAnsi="Calibri" w:eastAsia="Calibri"/>
          <w:b/>
          <w:sz w:val="25"/>
        </w:rPr>
        <w:t>3. What MinerLift Provides</w:t>
      </w:r>
    </w:p>
    <w:p>
      <w:pPr>
        <w:pStyle w:val="ListBullet"/>
        <w:spacing w:after="20"/>
      </w:pPr>
      <w:r>
        <w:rPr>
          <w:rFonts w:ascii="Calibri" w:hAnsi="Calibri" w:eastAsia="Calibri"/>
          <w:b w:val="0"/>
          <w:sz w:val="21"/>
        </w:rPr>
        <w:t>structured implementation agreements for mines and cooperatives</w:t>
      </w:r>
    </w:p>
    <w:p>
      <w:pPr>
        <w:pStyle w:val="ListBullet"/>
        <w:spacing w:after="20"/>
      </w:pPr>
      <w:r>
        <w:rPr>
          <w:rFonts w:ascii="Calibri" w:hAnsi="Calibri" w:eastAsia="Calibri"/>
          <w:b w:val="0"/>
          <w:sz w:val="21"/>
        </w:rPr>
        <w:t>secure custody, transport, refining, storage, and sale processes</w:t>
      </w:r>
    </w:p>
    <w:p>
      <w:pPr>
        <w:pStyle w:val="ListBullet"/>
        <w:spacing w:after="20"/>
      </w:pPr>
      <w:r>
        <w:rPr>
          <w:rFonts w:ascii="Calibri" w:hAnsi="Calibri" w:eastAsia="Calibri"/>
          <w:b w:val="0"/>
          <w:sz w:val="21"/>
        </w:rPr>
        <w:t>open-book settlement and reconciliation standards</w:t>
      </w:r>
    </w:p>
    <w:p>
      <w:pPr>
        <w:pStyle w:val="ListBullet"/>
        <w:spacing w:after="20"/>
      </w:pPr>
      <w:r>
        <w:rPr>
          <w:rFonts w:ascii="Calibri" w:hAnsi="Calibri" w:eastAsia="Calibri"/>
          <w:b w:val="0"/>
          <w:sz w:val="21"/>
        </w:rPr>
        <w:t>equipment lease support for production and expansion requirements</w:t>
      </w:r>
    </w:p>
    <w:p>
      <w:pPr>
        <w:pStyle w:val="ListBullet"/>
        <w:spacing w:after="20"/>
      </w:pPr>
      <w:r>
        <w:rPr>
          <w:rFonts w:ascii="Calibri" w:hAnsi="Calibri" w:eastAsia="Calibri"/>
          <w:b w:val="0"/>
          <w:sz w:val="21"/>
        </w:rPr>
        <w:t>microfinance cooperation rails for local operating expenses and supply support</w:t>
      </w:r>
    </w:p>
    <w:p>
      <w:pPr>
        <w:pStyle w:val="ListBullet"/>
        <w:spacing w:after="20"/>
      </w:pPr>
      <w:r>
        <w:rPr>
          <w:rFonts w:ascii="Calibri" w:hAnsi="Calibri" w:eastAsia="Calibri"/>
          <w:b w:val="0"/>
          <w:sz w:val="21"/>
        </w:rPr>
        <w:t>project insurance and controlled risk-management systems</w:t>
      </w:r>
    </w:p>
    <w:p>
      <w:pPr>
        <w:pStyle w:val="ListBullet"/>
        <w:spacing w:after="20"/>
      </w:pPr>
      <w:r>
        <w:rPr>
          <w:rFonts w:ascii="Calibri" w:hAnsi="Calibri" w:eastAsia="Calibri"/>
          <w:b w:val="0"/>
          <w:sz w:val="21"/>
        </w:rPr>
        <w:t>reserve-backed collateral support for eligible single-mine projects</w:t>
      </w:r>
    </w:p>
    <w:p>
      <w:r>
        <w:rPr>
          <w:rFonts w:ascii="Calibri" w:hAnsi="Calibri" w:eastAsia="Calibri"/>
          <w:b/>
          <w:sz w:val="25"/>
        </w:rPr>
        <w:t>4. Core Operating Principle</w:t>
      </w:r>
    </w:p>
    <w:p>
      <w:pPr>
        <w:spacing w:after="100"/>
      </w:pPr>
      <w:r>
        <w:rPr>
          <w:rFonts w:ascii="Calibri" w:hAnsi="Calibri" w:eastAsia="Calibri"/>
          <w:b w:val="0"/>
          <w:sz w:val="21"/>
        </w:rPr>
        <w:t>The producer retains ownership of the asset. IDC and its operating partners help establish the practical systems required to move production through a controlled channel from mine site to refinery to final sale. Costs are documented transparently. Proceeds are reconciled clearly. Where finance has been arranged, repayment can be applied in a structured way from production without undermining local ownership.</w:t>
      </w:r>
    </w:p>
    <w:p>
      <w:r>
        <w:rPr>
          <w:rFonts w:ascii="Calibri" w:hAnsi="Calibri" w:eastAsia="Calibri"/>
          <w:b/>
          <w:sz w:val="25"/>
        </w:rPr>
        <w:t>5. Government Relevance</w:t>
      </w:r>
    </w:p>
    <w:p>
      <w:pPr>
        <w:pStyle w:val="ListBullet"/>
        <w:spacing w:after="20"/>
      </w:pPr>
      <w:r>
        <w:rPr>
          <w:rFonts w:ascii="Calibri" w:hAnsi="Calibri" w:eastAsia="Calibri"/>
          <w:b w:val="0"/>
          <w:sz w:val="21"/>
        </w:rPr>
        <w:t>supports sector formalisation through documented, auditable commercial channels</w:t>
      </w:r>
    </w:p>
    <w:p>
      <w:pPr>
        <w:pStyle w:val="ListBullet"/>
        <w:spacing w:after="20"/>
      </w:pPr>
      <w:r>
        <w:rPr>
          <w:rFonts w:ascii="Calibri" w:hAnsi="Calibri" w:eastAsia="Calibri"/>
          <w:b w:val="0"/>
          <w:sz w:val="21"/>
        </w:rPr>
        <w:t>improves visibility over custody, transport, refining, and sale of mineral production</w:t>
      </w:r>
    </w:p>
    <w:p>
      <w:pPr>
        <w:pStyle w:val="ListBullet"/>
        <w:spacing w:after="20"/>
      </w:pPr>
      <w:r>
        <w:rPr>
          <w:rFonts w:ascii="Calibri" w:hAnsi="Calibri" w:eastAsia="Calibri"/>
          <w:b w:val="0"/>
          <w:sz w:val="21"/>
        </w:rPr>
        <w:t>helps producers retain greater value from domestic resources</w:t>
      </w:r>
    </w:p>
    <w:p>
      <w:pPr>
        <w:pStyle w:val="ListBullet"/>
        <w:spacing w:after="20"/>
      </w:pPr>
      <w:r>
        <w:rPr>
          <w:rFonts w:ascii="Calibri" w:hAnsi="Calibri" w:eastAsia="Calibri"/>
          <w:b w:val="0"/>
          <w:sz w:val="21"/>
        </w:rPr>
        <w:t>supports safer and more professional expansion of existing production</w:t>
      </w:r>
    </w:p>
    <w:p>
      <w:pPr>
        <w:pStyle w:val="ListBullet"/>
        <w:spacing w:after="20"/>
      </w:pPr>
      <w:r>
        <w:rPr>
          <w:rFonts w:ascii="Calibri" w:hAnsi="Calibri" w:eastAsia="Calibri"/>
          <w:b w:val="0"/>
          <w:sz w:val="21"/>
        </w:rPr>
        <w:t>creates a framework that can be replicated regionally across multiple projects</w:t>
      </w:r>
    </w:p>
    <w:p>
      <w:pPr>
        <w:pStyle w:val="ListBullet"/>
        <w:spacing w:after="20"/>
      </w:pPr>
      <w:r>
        <w:rPr>
          <w:rFonts w:ascii="Calibri" w:hAnsi="Calibri" w:eastAsia="Calibri"/>
          <w:b w:val="0"/>
          <w:sz w:val="21"/>
        </w:rPr>
        <w:t>improves the practical bankability of smaller operators and organised cooperatives</w:t>
      </w:r>
    </w:p>
    <w:p>
      <w:r>
        <w:rPr>
          <w:rFonts w:ascii="Calibri" w:hAnsi="Calibri" w:eastAsia="Calibri"/>
          <w:b/>
          <w:sz w:val="25"/>
        </w:rPr>
        <w:t>6. Initial Implementation Models</w:t>
      </w:r>
    </w:p>
    <w:p>
      <w:pPr>
        <w:spacing w:after="100"/>
      </w:pPr>
      <w:r>
        <w:rPr>
          <w:rFonts w:ascii="Calibri" w:hAnsi="Calibri" w:eastAsia="Calibri"/>
          <w:b w:val="0"/>
          <w:sz w:val="21"/>
        </w:rPr>
        <w:t>The current implementation pathway has been developed around two pilot structures.</w:t>
      </w:r>
    </w:p>
    <w:p>
      <w:pPr>
        <w:pStyle w:val="ListBullet"/>
        <w:spacing w:after="20"/>
      </w:pPr>
      <w:r>
        <w:rPr>
          <w:rFonts w:ascii="Calibri" w:hAnsi="Calibri" w:eastAsia="Calibri"/>
          <w:b w:val="0"/>
          <w:sz w:val="21"/>
        </w:rPr>
        <w:t>Cooperative model: IDC supports a producing cooperative by receiving all agreed offtake gold, arranging secure movement, refining, storage, sale, transparent settlement, and controlled access to input support through the cooperative framework.</w:t>
      </w:r>
    </w:p>
    <w:p>
      <w:pPr>
        <w:pStyle w:val="ListBullet"/>
        <w:spacing w:after="20"/>
      </w:pPr>
      <w:r>
        <w:rPr>
          <w:rFonts w:ascii="Calibri" w:hAnsi="Calibri" w:eastAsia="Calibri"/>
          <w:b w:val="0"/>
          <w:sz w:val="21"/>
        </w:rPr>
        <w:t>Single-mine model: IDC combines structured offtake management with a separate reserve-security layer based on an industry-standard independent reserve assessment, allowing the reserve value to support access to input and expansion finance while repayment remains linked to actual production.</w:t>
      </w:r>
    </w:p>
    <w:p>
      <w:r>
        <w:rPr>
          <w:rFonts w:ascii="Calibri" w:hAnsi="Calibri" w:eastAsia="Calibri"/>
          <w:b/>
          <w:sz w:val="25"/>
        </w:rPr>
        <w:t>7. Risk Management Approach</w:t>
      </w:r>
    </w:p>
    <w:p>
      <w:pPr>
        <w:spacing w:after="100"/>
      </w:pPr>
      <w:r>
        <w:rPr>
          <w:rFonts w:ascii="Calibri" w:hAnsi="Calibri" w:eastAsia="Calibri"/>
          <w:b w:val="0"/>
          <w:sz w:val="21"/>
        </w:rPr>
        <w:t>MinerLift is built on a conservative operating philosophy. The program assumes that security, logistics, insurance, and settlement controls must be robust from the outset. This includes formal chain-of-custody procedures, evidence-based costing, open-book reconciliation, project insurance, controlled transport protocols, and clear separation between external pass-through costs and IDC’s own administration and compliance charges.</w:t>
      </w:r>
    </w:p>
    <w:p>
      <w:r>
        <w:rPr>
          <w:rFonts w:ascii="Calibri" w:hAnsi="Calibri" w:eastAsia="Calibri"/>
          <w:b/>
          <w:sz w:val="25"/>
        </w:rPr>
        <w:t>8. Areas Where Government Support Can Accelerate Expansion</w:t>
      </w:r>
    </w:p>
    <w:p>
      <w:pPr>
        <w:pStyle w:val="ListBullet"/>
        <w:spacing w:after="20"/>
      </w:pPr>
      <w:r>
        <w:rPr>
          <w:rFonts w:ascii="Calibri" w:hAnsi="Calibri" w:eastAsia="Calibri"/>
          <w:b w:val="0"/>
          <w:sz w:val="21"/>
        </w:rPr>
        <w:t>institutional coordination with mining, customs, and export authorities</w:t>
      </w:r>
    </w:p>
    <w:p>
      <w:pPr>
        <w:pStyle w:val="ListBullet"/>
        <w:spacing w:after="20"/>
      </w:pPr>
      <w:r>
        <w:rPr>
          <w:rFonts w:ascii="Calibri" w:hAnsi="Calibri" w:eastAsia="Calibri"/>
          <w:b w:val="0"/>
          <w:sz w:val="21"/>
        </w:rPr>
        <w:t>support for compliant logistics and secure mineral movement frameworks</w:t>
      </w:r>
    </w:p>
    <w:p>
      <w:pPr>
        <w:pStyle w:val="ListBullet"/>
        <w:spacing w:after="20"/>
      </w:pPr>
      <w:r>
        <w:rPr>
          <w:rFonts w:ascii="Calibri" w:hAnsi="Calibri" w:eastAsia="Calibri"/>
          <w:b w:val="0"/>
          <w:sz w:val="21"/>
        </w:rPr>
        <w:t>recognition of formal cooperative and community mining structures</w:t>
      </w:r>
    </w:p>
    <w:p>
      <w:pPr>
        <w:pStyle w:val="ListBullet"/>
        <w:spacing w:after="20"/>
      </w:pPr>
      <w:r>
        <w:rPr>
          <w:rFonts w:ascii="Calibri" w:hAnsi="Calibri" w:eastAsia="Calibri"/>
          <w:b w:val="0"/>
          <w:sz w:val="21"/>
        </w:rPr>
        <w:t>facilitation of transparent refining and legally compliant export channels</w:t>
      </w:r>
    </w:p>
    <w:p>
      <w:pPr>
        <w:pStyle w:val="ListBullet"/>
        <w:spacing w:after="20"/>
      </w:pPr>
      <w:r>
        <w:rPr>
          <w:rFonts w:ascii="Calibri" w:hAnsi="Calibri" w:eastAsia="Calibri"/>
          <w:b w:val="0"/>
          <w:sz w:val="21"/>
        </w:rPr>
        <w:t>alignment with responsible mining, formalisation, and local value-retention objectives</w:t>
      </w:r>
    </w:p>
    <w:p>
      <w:pPr>
        <w:pStyle w:val="ListBullet"/>
        <w:spacing w:after="20"/>
      </w:pPr>
      <w:r>
        <w:rPr>
          <w:rFonts w:ascii="Calibri" w:hAnsi="Calibri" w:eastAsia="Calibri"/>
          <w:b w:val="0"/>
          <w:sz w:val="21"/>
        </w:rPr>
        <w:t>support for pilot implementation zones or regional demonstration projects</w:t>
      </w:r>
    </w:p>
    <w:p>
      <w:r>
        <w:rPr>
          <w:rFonts w:ascii="Calibri" w:hAnsi="Calibri" w:eastAsia="Calibri"/>
          <w:b/>
          <w:sz w:val="25"/>
        </w:rPr>
        <w:t>9. Proposed Next Step</w:t>
      </w:r>
    </w:p>
    <w:p>
      <w:pPr>
        <w:spacing w:after="100"/>
      </w:pPr>
      <w:r>
        <w:rPr>
          <w:rFonts w:ascii="Calibri" w:hAnsi="Calibri" w:eastAsia="Calibri"/>
          <w:b w:val="0"/>
          <w:sz w:val="21"/>
        </w:rPr>
        <w:t>The most practical next step is to identify one cooperative pilot and one single-mine pilot in a jurisdiction where government stakeholders are supportive of formalisation, structured expansion, and transparent route-to-market systems. This would allow the operating, legal, insurance, and settlement frameworks to be tested in a controlled way before wider rollout.</w:t>
      </w:r>
    </w:p>
    <w:p>
      <w:r>
        <w:rPr>
          <w:rFonts w:ascii="Calibri" w:hAnsi="Calibri" w:eastAsia="Calibri"/>
          <w:b/>
          <w:sz w:val="25"/>
        </w:rPr>
        <w:t>10. Closing Position</w:t>
      </w:r>
    </w:p>
    <w:p>
      <w:pPr>
        <w:spacing w:after="100"/>
      </w:pPr>
      <w:r>
        <w:rPr>
          <w:rFonts w:ascii="Calibri" w:hAnsi="Calibri" w:eastAsia="Calibri"/>
          <w:b w:val="0"/>
          <w:sz w:val="21"/>
        </w:rPr>
        <w:t>MinerLift is intended as a practical development tool. It offers governments a disciplined way to support mineral production growth, strengthen transparency, improve formalisation, and help local producers retain more value, while keeping ownership with the producer and building a structure that financiers, insurers, and implementation partners can understand and support.</w:t>
      </w:r>
    </w:p>
    <w:p/>
    <w:p>
      <w:pPr>
        <w:jc w:val="center"/>
      </w:pPr>
      <w:r>
        <w:rPr>
          <w:rFonts w:ascii="Calibri" w:hAnsi="Calibri" w:eastAsia="Calibri"/>
          <w:b w:val="0"/>
          <w:sz w:val="18"/>
        </w:rPr>
        <w:t>Prepared for internal and stakeholder introduction purposes</w:t>
      </w:r>
    </w:p>
    <w:sectPr w:rsidR="00FC693F" w:rsidRPr="0006063C" w:rsidSect="00034616">
      <w:pgSz w:w="12240" w:h="15840"/>
      <w:pgMar w:top="792" w:right="936" w:bottom="792" w:left="93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eastAsia="Calibr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